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440" w:type="dxa"/>
        <w:tblLook w:val="04A0" w:firstRow="1" w:lastRow="0" w:firstColumn="1" w:lastColumn="0" w:noHBand="0" w:noVBand="1"/>
      </w:tblPr>
      <w:tblGrid>
        <w:gridCol w:w="2723"/>
        <w:gridCol w:w="5860"/>
      </w:tblGrid>
      <w:tr w:rsidR="00660A3B" w:rsidRPr="00660A3B" w:rsidTr="00660A3B">
        <w:trPr>
          <w:trHeight w:val="360"/>
        </w:trPr>
        <w:tc>
          <w:tcPr>
            <w:tcW w:w="2580" w:type="dxa"/>
            <w:tcBorders>
              <w:top w:val="nil"/>
              <w:left w:val="nil"/>
              <w:bottom w:val="nil"/>
              <w:right w:val="nil"/>
            </w:tcBorders>
            <w:shd w:val="clear" w:color="auto" w:fill="auto"/>
            <w:noWrap/>
            <w:vAlign w:val="bottom"/>
            <w:hideMark/>
          </w:tcPr>
          <w:p w:rsidR="00660A3B" w:rsidRPr="00660A3B" w:rsidRDefault="00660A3B" w:rsidP="00660A3B">
            <w:pPr>
              <w:spacing w:after="0" w:line="240" w:lineRule="auto"/>
              <w:rPr>
                <w:rFonts w:ascii="Arial" w:eastAsia="Times New Roman" w:hAnsi="Arial" w:cs="Arial"/>
                <w:b/>
                <w:bCs/>
                <w:color w:val="5B9BD5"/>
                <w:sz w:val="28"/>
                <w:szCs w:val="28"/>
              </w:rPr>
            </w:pPr>
            <w:r w:rsidRPr="00660A3B">
              <w:rPr>
                <w:rFonts w:ascii="Arial" w:eastAsia="Times New Roman" w:hAnsi="Arial" w:cs="Arial"/>
                <w:b/>
                <w:bCs/>
                <w:color w:val="5B9BD5"/>
                <w:sz w:val="28"/>
                <w:szCs w:val="28"/>
              </w:rPr>
              <w:t>Mappings</w:t>
            </w:r>
          </w:p>
        </w:tc>
        <w:tc>
          <w:tcPr>
            <w:tcW w:w="5860" w:type="dxa"/>
            <w:tcBorders>
              <w:top w:val="nil"/>
              <w:left w:val="nil"/>
              <w:bottom w:val="nil"/>
              <w:right w:val="nil"/>
            </w:tcBorders>
            <w:shd w:val="clear" w:color="auto" w:fill="auto"/>
            <w:noWrap/>
            <w:vAlign w:val="bottom"/>
            <w:hideMark/>
          </w:tcPr>
          <w:p w:rsidR="00660A3B" w:rsidRPr="00660A3B" w:rsidRDefault="00660A3B" w:rsidP="00660A3B">
            <w:pPr>
              <w:spacing w:after="0" w:line="240" w:lineRule="auto"/>
              <w:rPr>
                <w:rFonts w:ascii="Arial" w:eastAsia="Times New Roman" w:hAnsi="Arial" w:cs="Arial"/>
                <w:b/>
                <w:bCs/>
                <w:color w:val="5B9BD5"/>
                <w:sz w:val="28"/>
                <w:szCs w:val="28"/>
              </w:rPr>
            </w:pPr>
            <w:r w:rsidRPr="00660A3B">
              <w:rPr>
                <w:rFonts w:ascii="Arial" w:eastAsia="Times New Roman" w:hAnsi="Arial" w:cs="Arial"/>
                <w:b/>
                <w:bCs/>
                <w:color w:val="5B9BD5"/>
                <w:sz w:val="28"/>
                <w:szCs w:val="28"/>
              </w:rPr>
              <w:t>Explanations</w:t>
            </w:r>
            <w:bookmarkStart w:id="0" w:name="_GoBack"/>
            <w:bookmarkEnd w:id="0"/>
          </w:p>
        </w:tc>
      </w:tr>
      <w:tr w:rsidR="00660A3B" w:rsidRPr="00660A3B" w:rsidTr="00660A3B">
        <w:trPr>
          <w:trHeight w:val="360"/>
        </w:trPr>
        <w:tc>
          <w:tcPr>
            <w:tcW w:w="2580" w:type="dxa"/>
            <w:tcBorders>
              <w:top w:val="nil"/>
              <w:left w:val="nil"/>
              <w:bottom w:val="nil"/>
              <w:right w:val="nil"/>
            </w:tcBorders>
            <w:shd w:val="clear" w:color="auto" w:fill="auto"/>
            <w:noWrap/>
            <w:vAlign w:val="bottom"/>
            <w:hideMark/>
          </w:tcPr>
          <w:p w:rsidR="00660A3B" w:rsidRPr="00660A3B" w:rsidRDefault="00660A3B" w:rsidP="00660A3B">
            <w:pPr>
              <w:spacing w:after="0" w:line="240" w:lineRule="auto"/>
              <w:rPr>
                <w:rFonts w:ascii="Arial" w:eastAsia="Times New Roman" w:hAnsi="Arial" w:cs="Arial"/>
                <w:b/>
                <w:bCs/>
                <w:color w:val="5B9BD5"/>
                <w:sz w:val="28"/>
                <w:szCs w:val="28"/>
              </w:rPr>
            </w:pPr>
          </w:p>
        </w:tc>
        <w:tc>
          <w:tcPr>
            <w:tcW w:w="5860" w:type="dxa"/>
            <w:tcBorders>
              <w:top w:val="nil"/>
              <w:left w:val="nil"/>
              <w:bottom w:val="nil"/>
              <w:right w:val="nil"/>
            </w:tcBorders>
            <w:shd w:val="clear" w:color="auto" w:fill="auto"/>
            <w:noWrap/>
            <w:vAlign w:val="bottom"/>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15"/>
        </w:trPr>
        <w:tc>
          <w:tcPr>
            <w:tcW w:w="8440" w:type="dxa"/>
            <w:gridSpan w:val="2"/>
            <w:tcBorders>
              <w:top w:val="nil"/>
              <w:left w:val="nil"/>
              <w:bottom w:val="single" w:sz="4" w:space="0" w:color="auto"/>
              <w:right w:val="nil"/>
            </w:tcBorders>
            <w:shd w:val="clear" w:color="auto" w:fill="auto"/>
            <w:noWrap/>
            <w:vAlign w:val="center"/>
            <w:hideMark/>
          </w:tcPr>
          <w:p w:rsidR="00660A3B" w:rsidRPr="00660A3B" w:rsidRDefault="00660A3B" w:rsidP="00660A3B">
            <w:pPr>
              <w:spacing w:after="0" w:line="240" w:lineRule="auto"/>
              <w:jc w:val="center"/>
              <w:rPr>
                <w:rFonts w:ascii="Arial" w:eastAsia="Times New Roman" w:hAnsi="Arial" w:cs="Arial"/>
                <w:b/>
                <w:bCs/>
                <w:color w:val="000000"/>
              </w:rPr>
            </w:pPr>
            <w:r w:rsidRPr="00660A3B">
              <w:rPr>
                <w:rFonts w:ascii="Arial" w:eastAsia="Times New Roman" w:hAnsi="Arial" w:cs="Arial"/>
                <w:b/>
                <w:bCs/>
                <w:color w:val="000000"/>
              </w:rPr>
              <w:t>Income Statement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Sales</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all sales and revenues for the company.</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CostOfSales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COGS includes inventory costs, direct labor costs, material costs, and other costs directly associated with the generation of revenue.</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GrossProfit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Gross Profit is the excess of revenue after subtracting out cost of sales.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Depreciation</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all depreciation expenses of the company. In the case where a company has other non-cash expenses associated with Plant, Property, and Equipment, include those costs as well.</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Amortization</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An estimate for the amount by which an intangible asset category has decreased in value over a certain period of time.</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Overhead</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This represents costs involved with the day-to-day operations of the company. Include rent, utilities, other overhead, and all selling, general, and administrative costs incurred that are not already covered by other line items in the statement.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OtherOperatingIncome</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operating income not already accounted for.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OtherOperatingExpenses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operating expenses not already accounted for.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OperatingProfit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Operating Profit field is calculated by subtracting Depreciation, Amortization, and S,G,&amp; A expenses from Gross Profit, with additional adjustments for miscellaneous operating items.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Interest</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all costs associated with borrowing activities. How much money was paid in interest?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OtherIncome</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regular and recurring income generated by the company that has not already been included above.</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OtherExpenses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regular and recurring expense incurred by the company that has not already been included above.</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r w:rsidRPr="00660A3B">
              <w:rPr>
                <w:rFonts w:ascii="Arial" w:eastAsia="Times New Roman" w:hAnsi="Arial" w:cs="Arial"/>
                <w:b/>
                <w:bCs/>
                <w:color w:val="000000"/>
              </w:rPr>
              <w:t>NPBT</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NBPT=Net Profit Before Taxes. This is the company’s net profit for the period before income taxes are paid. Do not include any extraordinary gains or losses in this field.</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Taxes</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amount of taxes paid by the company on its most recent tax filing corresponding to the period length being analyzed.</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ExtraordinaryGain</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income generated by the company outside of normal operations that is neither regular nor recurring.</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ExtraordinaryLoss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any non-operating expenses incurred by the company that are neither regular nor recurring.</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lastRenderedPageBreak/>
              <w:t>NetIncome</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This field should equal sales minus any and all expenses of the company.</w:t>
            </w:r>
          </w:p>
        </w:tc>
      </w:tr>
      <w:tr w:rsidR="00660A3B" w:rsidRPr="00660A3B" w:rsidTr="00660A3B">
        <w:trPr>
          <w:trHeight w:val="300"/>
        </w:trPr>
        <w:tc>
          <w:tcPr>
            <w:tcW w:w="258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
        </w:tc>
        <w:tc>
          <w:tcPr>
            <w:tcW w:w="586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00"/>
        </w:trPr>
        <w:tc>
          <w:tcPr>
            <w:tcW w:w="258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c>
          <w:tcPr>
            <w:tcW w:w="586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00"/>
        </w:trPr>
        <w:tc>
          <w:tcPr>
            <w:tcW w:w="8440" w:type="dxa"/>
            <w:gridSpan w:val="2"/>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jc w:val="center"/>
              <w:rPr>
                <w:rFonts w:ascii="Arial" w:eastAsia="Times New Roman" w:hAnsi="Arial" w:cs="Arial"/>
                <w:b/>
                <w:bCs/>
                <w:color w:val="000000"/>
              </w:rPr>
            </w:pPr>
            <w:r w:rsidRPr="00660A3B">
              <w:rPr>
                <w:rFonts w:ascii="Arial" w:eastAsia="Times New Roman" w:hAnsi="Arial" w:cs="Arial"/>
                <w:b/>
                <w:bCs/>
                <w:color w:val="000000"/>
              </w:rPr>
              <w:t>Balance Sheet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Cash</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all monies in cash, checking, and money market accounts. Include marketable securities.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AccountsReceivable</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 xml:space="preserve">Include all amounts owed by customers to the company, net of any allowances for </w:t>
            </w:r>
            <w:proofErr w:type="spellStart"/>
            <w:r w:rsidRPr="00660A3B">
              <w:rPr>
                <w:rFonts w:ascii="Arial" w:eastAsia="Times New Roman" w:hAnsi="Arial" w:cs="Arial"/>
                <w:color w:val="000000"/>
              </w:rPr>
              <w:t>uncollectibles</w:t>
            </w:r>
            <w:proofErr w:type="spellEnd"/>
            <w:r w:rsidRPr="00660A3B">
              <w:rPr>
                <w:rFonts w:ascii="Arial" w:eastAsia="Times New Roman" w:hAnsi="Arial" w:cs="Arial"/>
                <w:color w:val="000000"/>
              </w:rPr>
              <w: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Inventory</w:t>
            </w:r>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value of all items available for resale to customers. Direct labor would only be included here if it is included in the calculation of inventory cost.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OtherCurrentAssets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value of all of the company's current assets that have not already been included under Cash, Accounts Receivable, or Inventory.</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TotalCurrentAssets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total of cash, marketable securities, accounts receivable, inventory, prepaid expenses, and any other asset the company owns that can reasonably be expected to convert to cash within approximately one year.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GrossFixedAssets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amount for gross fixed assets or the value for Plant, Property, and Equipment before depreciation is subtracted.</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AccumulatedDepreciation</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total amount of depreciation accumulated by the business since the start of operations.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NetFixedAssets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value of your fixed assets after having accounted for depreciation.</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GrossIntangibleAssets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Intellectual property or other "soft assets" that have a useful life but are not fixed assets.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AccumulatedAmortization</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amount of amortization expense the business has recognized for intangible assets on the books.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NetIntangibleAssets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the value of your intangible assets after accounting for amortization.</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value of all of the company's assets that are not already covered under the Current or Gross Fixed asset accounts.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TotalAssets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This field should be available directly from any Balance Sheet.</w:t>
            </w:r>
          </w:p>
        </w:tc>
      </w:tr>
      <w:tr w:rsidR="00660A3B" w:rsidRPr="00660A3B" w:rsidTr="00660A3B">
        <w:trPr>
          <w:trHeight w:val="300"/>
        </w:trPr>
        <w:tc>
          <w:tcPr>
            <w:tcW w:w="258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
        </w:tc>
        <w:tc>
          <w:tcPr>
            <w:tcW w:w="586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AccountsPayable</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amounts owed to vendors.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ShortTermDebt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 xml:space="preserve">Include the outstanding balance of any short term debt owed by the company. This may include lines of credit, short term operating loans, etc.  </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CurrentLongTermDebt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portion of Long Term Liabilities being paid off within 12 months of the particular financial statement date and notes payable that have a maturity of less than one year.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OtherCurrentLiabilities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the value of all of the company's liabilities that are due in the next year and are not already included under Accounts Payable.</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lastRenderedPageBreak/>
              <w:t>TotalCurrentLiabilities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Most Balance Sheets make a distinction between current and long-term liabilities.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SeniorDebt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This term applies to debt which has seniority or preference in case of a default or bankruptcy.</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SubordinatedDebt</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This term applies to liabilities that are subordinate or have less preference in case of a default or bankruptcy.</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OtherLongTermLiabilities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Any Other Long Term Liabilities that would not be considered either Senior or Subordinated Debt.</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LongTermLiabilities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value of the firm's liabilities that will not need to be paid back for at least one year.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TotalLiabilities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all amounts owed by the company as of the Balance Sheet date in question.</w:t>
            </w:r>
          </w:p>
        </w:tc>
      </w:tr>
      <w:tr w:rsidR="00660A3B" w:rsidRPr="00660A3B" w:rsidTr="00660A3B">
        <w:trPr>
          <w:trHeight w:val="300"/>
        </w:trPr>
        <w:tc>
          <w:tcPr>
            <w:tcW w:w="258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
        </w:tc>
        <w:tc>
          <w:tcPr>
            <w:tcW w:w="586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PreferredStock</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Stock which generally provides the shareholder with preferential payment of dividends but does not carry voting rights.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CommonStock</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A security which represents ownership in a corporation and which normally carries voting privileges.</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AdditionalPaidInCapital</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The difference between the par value of the stock issued to owners and the total cash contributed in exchange for the issued stock.</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OtherStock</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in this field any stock or other equity amounts, excluding retained earnings, not previously accounted for.</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roofErr w:type="spellStart"/>
            <w:r w:rsidRPr="00660A3B">
              <w:rPr>
                <w:rFonts w:ascii="Arial" w:eastAsia="Times New Roman" w:hAnsi="Arial" w:cs="Arial"/>
                <w:color w:val="000000"/>
              </w:rPr>
              <w:t>RetainedEarnings</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all profits that the company has earned and re-invested in itself for the dates in question.</w:t>
            </w: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TotalEquity</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Include here all retained earnings, treasury stock, additional paid-in capital, and original investments in the company.</w:t>
            </w:r>
          </w:p>
        </w:tc>
      </w:tr>
      <w:tr w:rsidR="00660A3B" w:rsidRPr="00660A3B" w:rsidTr="00660A3B">
        <w:trPr>
          <w:trHeight w:val="300"/>
        </w:trPr>
        <w:tc>
          <w:tcPr>
            <w:tcW w:w="258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p>
        </w:tc>
        <w:tc>
          <w:tcPr>
            <w:tcW w:w="5860" w:type="dxa"/>
            <w:tcBorders>
              <w:top w:val="nil"/>
              <w:left w:val="nil"/>
              <w:bottom w:val="nil"/>
              <w:right w:val="nil"/>
            </w:tcBorders>
            <w:shd w:val="clear" w:color="auto" w:fill="auto"/>
            <w:noWrap/>
            <w:vAlign w:val="center"/>
            <w:hideMark/>
          </w:tcPr>
          <w:p w:rsidR="00660A3B" w:rsidRPr="00660A3B" w:rsidRDefault="00660A3B" w:rsidP="00660A3B">
            <w:pPr>
              <w:spacing w:after="0" w:line="240" w:lineRule="auto"/>
              <w:rPr>
                <w:rFonts w:ascii="Times New Roman" w:eastAsia="Times New Roman" w:hAnsi="Times New Roman" w:cs="Times New Roman"/>
                <w:sz w:val="20"/>
                <w:szCs w:val="20"/>
              </w:rPr>
            </w:pPr>
          </w:p>
        </w:tc>
      </w:tr>
      <w:tr w:rsidR="00660A3B" w:rsidRPr="00660A3B" w:rsidTr="00660A3B">
        <w:trPr>
          <w:trHeight w:val="300"/>
        </w:trPr>
        <w:tc>
          <w:tcPr>
            <w:tcW w:w="258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b/>
                <w:bCs/>
                <w:color w:val="000000"/>
              </w:rPr>
            </w:pPr>
            <w:proofErr w:type="spellStart"/>
            <w:r w:rsidRPr="00660A3B">
              <w:rPr>
                <w:rFonts w:ascii="Arial" w:eastAsia="Times New Roman" w:hAnsi="Arial" w:cs="Arial"/>
                <w:b/>
                <w:bCs/>
                <w:color w:val="000000"/>
              </w:rPr>
              <w:t>LiabilitiesPlusEquity</w:t>
            </w:r>
            <w:proofErr w:type="spellEnd"/>
          </w:p>
        </w:tc>
        <w:tc>
          <w:tcPr>
            <w:tcW w:w="5860" w:type="dxa"/>
            <w:tcBorders>
              <w:top w:val="nil"/>
              <w:left w:val="nil"/>
              <w:bottom w:val="single" w:sz="4" w:space="0" w:color="BFBFBF"/>
              <w:right w:val="nil"/>
            </w:tcBorders>
            <w:shd w:val="clear" w:color="auto" w:fill="auto"/>
            <w:noWrap/>
            <w:vAlign w:val="center"/>
            <w:hideMark/>
          </w:tcPr>
          <w:p w:rsidR="00660A3B" w:rsidRPr="00660A3B" w:rsidRDefault="00660A3B" w:rsidP="00660A3B">
            <w:pPr>
              <w:spacing w:after="0" w:line="240" w:lineRule="auto"/>
              <w:rPr>
                <w:rFonts w:ascii="Arial" w:eastAsia="Times New Roman" w:hAnsi="Arial" w:cs="Arial"/>
                <w:color w:val="000000"/>
              </w:rPr>
            </w:pPr>
            <w:r w:rsidRPr="00660A3B">
              <w:rPr>
                <w:rFonts w:ascii="Arial" w:eastAsia="Times New Roman" w:hAnsi="Arial" w:cs="Arial"/>
                <w:color w:val="000000"/>
              </w:rPr>
              <w:t>Total Liabilities plus Total Equity.</w:t>
            </w:r>
          </w:p>
        </w:tc>
      </w:tr>
    </w:tbl>
    <w:p w:rsidR="000A6E1A" w:rsidRPr="00660A3B" w:rsidRDefault="00660A3B" w:rsidP="00660A3B"/>
    <w:sectPr w:rsidR="000A6E1A" w:rsidRPr="00660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00"/>
    <w:rsid w:val="00265351"/>
    <w:rsid w:val="00304400"/>
    <w:rsid w:val="00660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E0A4"/>
  <w15:chartTrackingRefBased/>
  <w15:docId w15:val="{DDACC548-A3FC-46A2-9CF3-D225BCD2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166411">
      <w:bodyDiv w:val="1"/>
      <w:marLeft w:val="0"/>
      <w:marRight w:val="0"/>
      <w:marTop w:val="0"/>
      <w:marBottom w:val="0"/>
      <w:divBdr>
        <w:top w:val="none" w:sz="0" w:space="0" w:color="auto"/>
        <w:left w:val="none" w:sz="0" w:space="0" w:color="auto"/>
        <w:bottom w:val="none" w:sz="0" w:space="0" w:color="auto"/>
        <w:right w:val="none" w:sz="0" w:space="0" w:color="auto"/>
      </w:divBdr>
    </w:div>
    <w:div w:id="616910547">
      <w:bodyDiv w:val="1"/>
      <w:marLeft w:val="0"/>
      <w:marRight w:val="0"/>
      <w:marTop w:val="0"/>
      <w:marBottom w:val="0"/>
      <w:divBdr>
        <w:top w:val="none" w:sz="0" w:space="0" w:color="auto"/>
        <w:left w:val="none" w:sz="0" w:space="0" w:color="auto"/>
        <w:bottom w:val="none" w:sz="0" w:space="0" w:color="auto"/>
        <w:right w:val="none" w:sz="0" w:space="0" w:color="auto"/>
      </w:divBdr>
    </w:div>
    <w:div w:id="691953879">
      <w:bodyDiv w:val="1"/>
      <w:marLeft w:val="0"/>
      <w:marRight w:val="0"/>
      <w:marTop w:val="0"/>
      <w:marBottom w:val="0"/>
      <w:divBdr>
        <w:top w:val="none" w:sz="0" w:space="0" w:color="auto"/>
        <w:left w:val="none" w:sz="0" w:space="0" w:color="auto"/>
        <w:bottom w:val="none" w:sz="0" w:space="0" w:color="auto"/>
        <w:right w:val="none" w:sz="0" w:space="0" w:color="auto"/>
      </w:divBdr>
    </w:div>
    <w:div w:id="928467293">
      <w:bodyDiv w:val="1"/>
      <w:marLeft w:val="0"/>
      <w:marRight w:val="0"/>
      <w:marTop w:val="0"/>
      <w:marBottom w:val="0"/>
      <w:divBdr>
        <w:top w:val="none" w:sz="0" w:space="0" w:color="auto"/>
        <w:left w:val="none" w:sz="0" w:space="0" w:color="auto"/>
        <w:bottom w:val="none" w:sz="0" w:space="0" w:color="auto"/>
        <w:right w:val="none" w:sz="0" w:space="0" w:color="auto"/>
      </w:divBdr>
    </w:div>
    <w:div w:id="1391659017">
      <w:bodyDiv w:val="1"/>
      <w:marLeft w:val="0"/>
      <w:marRight w:val="0"/>
      <w:marTop w:val="0"/>
      <w:marBottom w:val="0"/>
      <w:divBdr>
        <w:top w:val="none" w:sz="0" w:space="0" w:color="auto"/>
        <w:left w:val="none" w:sz="0" w:space="0" w:color="auto"/>
        <w:bottom w:val="none" w:sz="0" w:space="0" w:color="auto"/>
        <w:right w:val="none" w:sz="0" w:space="0" w:color="auto"/>
      </w:divBdr>
    </w:div>
    <w:div w:id="1902593286">
      <w:bodyDiv w:val="1"/>
      <w:marLeft w:val="0"/>
      <w:marRight w:val="0"/>
      <w:marTop w:val="0"/>
      <w:marBottom w:val="0"/>
      <w:divBdr>
        <w:top w:val="none" w:sz="0" w:space="0" w:color="auto"/>
        <w:left w:val="none" w:sz="0" w:space="0" w:color="auto"/>
        <w:bottom w:val="none" w:sz="0" w:space="0" w:color="auto"/>
        <w:right w:val="none" w:sz="0" w:space="0" w:color="auto"/>
      </w:divBdr>
    </w:div>
    <w:div w:id="1997107829">
      <w:bodyDiv w:val="1"/>
      <w:marLeft w:val="0"/>
      <w:marRight w:val="0"/>
      <w:marTop w:val="0"/>
      <w:marBottom w:val="0"/>
      <w:divBdr>
        <w:top w:val="none" w:sz="0" w:space="0" w:color="auto"/>
        <w:left w:val="none" w:sz="0" w:space="0" w:color="auto"/>
        <w:bottom w:val="none" w:sz="0" w:space="0" w:color="auto"/>
        <w:right w:val="none" w:sz="0" w:space="0" w:color="auto"/>
      </w:divBdr>
    </w:div>
    <w:div w:id="2030131952">
      <w:bodyDiv w:val="1"/>
      <w:marLeft w:val="0"/>
      <w:marRight w:val="0"/>
      <w:marTop w:val="0"/>
      <w:marBottom w:val="0"/>
      <w:divBdr>
        <w:top w:val="none" w:sz="0" w:space="0" w:color="auto"/>
        <w:left w:val="none" w:sz="0" w:space="0" w:color="auto"/>
        <w:bottom w:val="none" w:sz="0" w:space="0" w:color="auto"/>
        <w:right w:val="none" w:sz="0" w:space="0" w:color="auto"/>
      </w:divBdr>
    </w:div>
    <w:div w:id="2033918328">
      <w:bodyDiv w:val="1"/>
      <w:marLeft w:val="0"/>
      <w:marRight w:val="0"/>
      <w:marTop w:val="0"/>
      <w:marBottom w:val="0"/>
      <w:divBdr>
        <w:top w:val="none" w:sz="0" w:space="0" w:color="auto"/>
        <w:left w:val="none" w:sz="0" w:space="0" w:color="auto"/>
        <w:bottom w:val="none" w:sz="0" w:space="0" w:color="auto"/>
        <w:right w:val="none" w:sz="0" w:space="0" w:color="auto"/>
      </w:divBdr>
    </w:div>
    <w:div w:id="2042631461">
      <w:bodyDiv w:val="1"/>
      <w:marLeft w:val="0"/>
      <w:marRight w:val="0"/>
      <w:marTop w:val="0"/>
      <w:marBottom w:val="0"/>
      <w:divBdr>
        <w:top w:val="none" w:sz="0" w:space="0" w:color="auto"/>
        <w:left w:val="none" w:sz="0" w:space="0" w:color="auto"/>
        <w:bottom w:val="none" w:sz="0" w:space="0" w:color="auto"/>
        <w:right w:val="none" w:sz="0" w:space="0" w:color="auto"/>
      </w:divBdr>
    </w:div>
    <w:div w:id="20595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Pan</dc:creator>
  <cp:keywords/>
  <dc:description/>
  <cp:lastModifiedBy>Alex Pan</cp:lastModifiedBy>
  <cp:revision>1</cp:revision>
  <dcterms:created xsi:type="dcterms:W3CDTF">2016-05-10T22:07:00Z</dcterms:created>
  <dcterms:modified xsi:type="dcterms:W3CDTF">2016-05-10T22:27:00Z</dcterms:modified>
</cp:coreProperties>
</file>